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04475D" w:rsidP="00AF0FA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F90B23">
        <w:rPr>
          <w:b/>
          <w:color w:val="000000"/>
          <w:sz w:val="28"/>
          <w:szCs w:val="28"/>
        </w:rPr>
        <w:t>КИСЕЛЕВСКОЕ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F90B23">
        <w:rPr>
          <w:b/>
          <w:color w:val="000000"/>
          <w:sz w:val="28"/>
          <w:szCs w:val="28"/>
        </w:rPr>
        <w:t>КИСЕЛЕВСКОГО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</w:t>
      </w:r>
      <w:r w:rsidR="00744438">
        <w:rPr>
          <w:sz w:val="28"/>
          <w:szCs w:val="28"/>
        </w:rPr>
        <w:t>20.05.</w:t>
      </w:r>
      <w:r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Pr="00662380">
        <w:rPr>
          <w:sz w:val="28"/>
          <w:szCs w:val="28"/>
        </w:rPr>
        <w:t xml:space="preserve">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744438">
        <w:rPr>
          <w:sz w:val="28"/>
          <w:szCs w:val="28"/>
        </w:rPr>
        <w:t>40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</w:t>
      </w:r>
      <w:r w:rsidR="00F90B23">
        <w:rPr>
          <w:sz w:val="28"/>
          <w:szCs w:val="28"/>
        </w:rPr>
        <w:t>с</w:t>
      </w:r>
      <w:r w:rsidRPr="00662380">
        <w:rPr>
          <w:sz w:val="28"/>
          <w:szCs w:val="28"/>
        </w:rPr>
        <w:t xml:space="preserve">. </w:t>
      </w:r>
      <w:r w:rsidR="00F90B23">
        <w:rPr>
          <w:sz w:val="28"/>
          <w:szCs w:val="28"/>
        </w:rPr>
        <w:t>Киселево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О порядке предоставления муниципальных гарантий</w:t>
      </w: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за счет средств бюджета Киселевского сельского поселения</w:t>
      </w:r>
      <w:r w:rsidR="0096770E">
        <w:rPr>
          <w:b/>
          <w:sz w:val="28"/>
          <w:szCs w:val="28"/>
        </w:rPr>
        <w:t xml:space="preserve"> Красносулинского района</w:t>
      </w:r>
    </w:p>
    <w:p w:rsidR="00D93E99" w:rsidRPr="00D93E99" w:rsidRDefault="00D93E99" w:rsidP="00D93E99">
      <w:pPr>
        <w:ind w:left="1134" w:right="1700" w:firstLine="851"/>
        <w:jc w:val="center"/>
        <w:rPr>
          <w:b/>
          <w:sz w:val="28"/>
          <w:szCs w:val="16"/>
        </w:rPr>
      </w:pPr>
    </w:p>
    <w:p w:rsidR="00662380" w:rsidRPr="00662380" w:rsidRDefault="00AF0FAC" w:rsidP="00AF0FA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F0FAC">
        <w:rPr>
          <w:rFonts w:eastAsia="Calibri"/>
          <w:sz w:val="28"/>
          <w:szCs w:val="28"/>
          <w:lang w:eastAsia="en-US"/>
        </w:rPr>
        <w:t>В соответствии со статьями 115.2, 117 Бюджетного кодекса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FAC">
        <w:rPr>
          <w:rFonts w:eastAsia="Calibri"/>
          <w:sz w:val="28"/>
          <w:szCs w:val="28"/>
          <w:lang w:eastAsia="en-US"/>
        </w:rPr>
        <w:t>Федерации,</w:t>
      </w:r>
      <w:r w:rsidR="00D93E99" w:rsidRPr="00D93E99">
        <w:rPr>
          <w:sz w:val="28"/>
          <w:szCs w:val="28"/>
        </w:rPr>
        <w:t xml:space="preserve"> руководствуясь статьей 37 Устава муниципального образования «К</w:t>
      </w:r>
      <w:r w:rsidR="00D93E99">
        <w:rPr>
          <w:sz w:val="28"/>
          <w:szCs w:val="28"/>
        </w:rPr>
        <w:t>иселевское сельское поселение</w:t>
      </w:r>
      <w:r w:rsidR="00D93E99" w:rsidRPr="00D93E99">
        <w:rPr>
          <w:sz w:val="28"/>
          <w:szCs w:val="28"/>
        </w:rPr>
        <w:t>», Администрация К</w:t>
      </w:r>
      <w:r w:rsidR="00D93E99">
        <w:rPr>
          <w:sz w:val="28"/>
          <w:szCs w:val="28"/>
        </w:rPr>
        <w:t>иселевского сельского поселения</w:t>
      </w:r>
      <w:r w:rsidR="00662380" w:rsidRPr="00662380">
        <w:rPr>
          <w:sz w:val="28"/>
          <w:szCs w:val="28"/>
        </w:rPr>
        <w:t>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A01D2D" w:rsidRPr="00A01D2D" w:rsidRDefault="00A01D2D" w:rsidP="00A01D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D2D">
        <w:rPr>
          <w:rFonts w:eastAsia="Calibri"/>
          <w:sz w:val="28"/>
          <w:szCs w:val="28"/>
          <w:lang w:eastAsia="en-US"/>
        </w:rPr>
        <w:t>1.Утвердить прилагаемое Положение о порядке предоставления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D2D">
        <w:rPr>
          <w:rFonts w:eastAsia="Calibri"/>
          <w:sz w:val="28"/>
          <w:szCs w:val="28"/>
          <w:lang w:eastAsia="en-US"/>
        </w:rPr>
        <w:t xml:space="preserve">гарантий за счет средств бюджета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="0096770E">
        <w:rPr>
          <w:rFonts w:eastAsia="Calibri"/>
          <w:sz w:val="28"/>
          <w:szCs w:val="28"/>
          <w:lang w:eastAsia="en-US"/>
        </w:rPr>
        <w:t xml:space="preserve"> Красносулинского района</w:t>
      </w:r>
      <w:r w:rsidRPr="00A01D2D">
        <w:rPr>
          <w:rFonts w:eastAsia="Calibri"/>
          <w:sz w:val="28"/>
          <w:szCs w:val="28"/>
          <w:lang w:eastAsia="en-US"/>
        </w:rPr>
        <w:t>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D2D">
        <w:rPr>
          <w:sz w:val="28"/>
          <w:szCs w:val="28"/>
        </w:rPr>
        <w:t xml:space="preserve">.  </w:t>
      </w:r>
      <w:r w:rsidR="00662380" w:rsidRPr="0066238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F90B2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</w:rPr>
        <w:t>О.И.Каралкин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Приложение</w:t>
      </w: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к постановлению</w:t>
      </w:r>
      <w:r>
        <w:rPr>
          <w:sz w:val="28"/>
          <w:szCs w:val="20"/>
        </w:rPr>
        <w:t xml:space="preserve"> </w:t>
      </w:r>
      <w:r w:rsidRPr="00D93E99">
        <w:rPr>
          <w:sz w:val="28"/>
          <w:szCs w:val="20"/>
        </w:rPr>
        <w:t>Администрации</w:t>
      </w:r>
    </w:p>
    <w:p w:rsidR="00D93E99" w:rsidRPr="00D93E99" w:rsidRDefault="00D93E99" w:rsidP="00D93E99">
      <w:pPr>
        <w:tabs>
          <w:tab w:val="left" w:pos="6379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</w:t>
      </w:r>
      <w:r w:rsidRPr="00D93E99">
        <w:rPr>
          <w:sz w:val="28"/>
          <w:szCs w:val="20"/>
        </w:rPr>
        <w:t>К</w:t>
      </w:r>
      <w:r>
        <w:rPr>
          <w:sz w:val="28"/>
          <w:szCs w:val="20"/>
        </w:rPr>
        <w:t>иселевского сельского поселения</w:t>
      </w: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 xml:space="preserve">от </w:t>
      </w:r>
      <w:r w:rsidR="00744438">
        <w:rPr>
          <w:sz w:val="28"/>
          <w:szCs w:val="20"/>
        </w:rPr>
        <w:t>20.05.</w:t>
      </w:r>
      <w:r w:rsidRPr="00D93E99">
        <w:rPr>
          <w:sz w:val="28"/>
          <w:szCs w:val="20"/>
        </w:rPr>
        <w:t>2021 №</w:t>
      </w:r>
      <w:r w:rsidR="00744438">
        <w:rPr>
          <w:sz w:val="28"/>
          <w:szCs w:val="20"/>
        </w:rPr>
        <w:t>40</w:t>
      </w:r>
    </w:p>
    <w:p w:rsidR="00D93E99" w:rsidRPr="00D93E99" w:rsidRDefault="00D93E99" w:rsidP="00D93E99">
      <w:pPr>
        <w:tabs>
          <w:tab w:val="left" w:pos="6379"/>
        </w:tabs>
        <w:ind w:firstLine="5812"/>
        <w:jc w:val="both"/>
        <w:rPr>
          <w:sz w:val="28"/>
          <w:szCs w:val="20"/>
          <w:u w:val="single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ПОЛОЖЕНИЕ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 ПОРЯДКЕ И УСЛОВИЯХ ПРЕДОСТАВЛЕНИЯ МУНИЦИПАЛЬНЫХ</w:t>
      </w:r>
    </w:p>
    <w:p w:rsid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ГАРАНТИЙ ЗА СЧЕТ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СРЕДСТВ БЮДЖЕТА </w:t>
      </w:r>
      <w:r>
        <w:rPr>
          <w:rFonts w:eastAsia="Calibri"/>
          <w:sz w:val="28"/>
          <w:szCs w:val="28"/>
          <w:lang w:eastAsia="en-US"/>
        </w:rPr>
        <w:t>КИСЕЛЕВСКОГО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КРАСНОСУЛИНСКОГО РАЙОНА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1. Общие положения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Бюджетным кодексом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Российской Федерации, Положением о бюджетном процессе в </w:t>
      </w:r>
      <w:r>
        <w:rPr>
          <w:rFonts w:eastAsia="Calibri"/>
          <w:sz w:val="28"/>
          <w:szCs w:val="28"/>
          <w:lang w:eastAsia="en-US"/>
        </w:rPr>
        <w:t>Киселевском</w:t>
      </w:r>
      <w:r w:rsidRPr="0096770E">
        <w:rPr>
          <w:rFonts w:eastAsia="Calibri"/>
          <w:sz w:val="28"/>
          <w:szCs w:val="28"/>
          <w:lang w:eastAsia="en-US"/>
        </w:rPr>
        <w:t xml:space="preserve"> сельском поселении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устанавливает порядок предоставления муниципальных гарантий юридическим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лицам для обеспечения исполнения их обязательств перед третьими лицами, 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также порядок учета выданных </w:t>
      </w:r>
      <w:r>
        <w:rPr>
          <w:rFonts w:eastAsia="Calibri"/>
          <w:sz w:val="28"/>
          <w:szCs w:val="28"/>
          <w:lang w:eastAsia="en-US"/>
        </w:rPr>
        <w:t>м</w:t>
      </w:r>
      <w:r w:rsidRPr="0096770E">
        <w:rPr>
          <w:rFonts w:eastAsia="Calibri"/>
          <w:sz w:val="28"/>
          <w:szCs w:val="28"/>
          <w:lang w:eastAsia="en-US"/>
        </w:rPr>
        <w:t>униципальных гарантий, исполнения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получателями гарантий своих обязательств, обеспеченных гарантиями.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2. Понятия и термины, применяемые в настоящем Положении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1.В целях настоящего Положения применяются следующие понятия и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термины: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гарант </w:t>
      </w:r>
      <w:r w:rsidRPr="0096770E">
        <w:rPr>
          <w:rFonts w:eastAsia="Calibri"/>
          <w:sz w:val="28"/>
          <w:szCs w:val="28"/>
          <w:lang w:eastAsia="en-US"/>
        </w:rPr>
        <w:t>- лицо, предоставляющее гарантию;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принципал </w:t>
      </w:r>
      <w:r w:rsidRPr="0096770E">
        <w:rPr>
          <w:rFonts w:eastAsia="Calibri"/>
          <w:sz w:val="28"/>
          <w:szCs w:val="28"/>
          <w:lang w:eastAsia="en-US"/>
        </w:rPr>
        <w:t>(получатель муниципальной гарантии) - лицо, по просьбе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которого выдается гарантия;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бенефициар </w:t>
      </w:r>
      <w:r w:rsidRPr="0096770E">
        <w:rPr>
          <w:rFonts w:eastAsia="Calibri"/>
          <w:sz w:val="28"/>
          <w:szCs w:val="28"/>
          <w:lang w:eastAsia="en-US"/>
        </w:rPr>
        <w:t>- кредитор принципала, получатель денег по долговому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обязательству;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муниципальная гарантия </w:t>
      </w:r>
      <w:r w:rsidRPr="0096770E">
        <w:rPr>
          <w:rFonts w:eastAsia="Calibri"/>
          <w:sz w:val="28"/>
          <w:szCs w:val="28"/>
          <w:lang w:eastAsia="en-US"/>
        </w:rPr>
        <w:t>- вид долгового обязательства, в силу которого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(далее -гарант) обязано при наступлении предусмотренного в гарантии события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(гарантийного случая) уплатить лицу, в пользу которого предоставлена гарантия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(бенефициару), по его письменному требованию определенную в обязательстве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денежную сумму за счет средств местного бюджета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условиями даваемого гарантом обязательства отвечать за исполнение третьим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лицом (принципалом) его обязательств перед бенефициаром.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2.Другие термины и понятия, используемые в настоящем Положении,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применяются в том значении, в котором они используются в законодательстве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96770E">
        <w:rPr>
          <w:rFonts w:eastAsia="Calibri"/>
          <w:sz w:val="28"/>
          <w:szCs w:val="28"/>
          <w:lang w:eastAsia="en-US"/>
        </w:rPr>
        <w:t>если иное не предусмотрено настоящим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3. Получатели муниципальных гарантий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Получателями муниципальных гарантий являются юридические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независимо от их организационно-правовой формы и формы собственности,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зарегистрированные в установленном порядке на территории </w:t>
      </w:r>
      <w:r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Красносулинского района </w:t>
      </w:r>
      <w:r w:rsidRPr="0096770E">
        <w:rPr>
          <w:rFonts w:eastAsia="Calibri"/>
          <w:sz w:val="28"/>
          <w:szCs w:val="28"/>
          <w:lang w:eastAsia="en-US"/>
        </w:rPr>
        <w:t>(далее – юридические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лица).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lastRenderedPageBreak/>
        <w:t>Статья 4. Муниципальная гарантия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может обеспечивать: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надлежащее исполнение принципалом его обязательства перед бенефициаром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(основного обязательства);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возмещение ущерба, образовавшегося при наступлении гарантийного случая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2.Не обеспечивается муниципальной гарантией исполнение обязательств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по уплате штрафов, комиссий, пени, процентов, иных платежей, не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входящих в основную сумму долга и определенных кредитным договором.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Муниципальная гарантия может предоставляться для обеспечения как уже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возникших обязательств, так и обязательств, которые возникнут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Письменная форма муниципальной гарантии является обязательной.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Несоблюдение письменной формы муниципальной гарантии влечет ее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недействительность (ничтожность).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Условия муниципальной гарантии не могут быть изменены гарантом без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согласия бенефициара.</w:t>
      </w:r>
    </w:p>
    <w:p w:rsidR="0096770E" w:rsidRPr="0096770E" w:rsidRDefault="00171241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96770E" w:rsidRPr="0096770E">
        <w:rPr>
          <w:rFonts w:eastAsia="Calibri"/>
          <w:sz w:val="28"/>
          <w:szCs w:val="28"/>
          <w:lang w:eastAsia="en-US"/>
        </w:rPr>
        <w:t>Принадлежащее бенефициару по муниципальной гарантии право требования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гаранту не может быть передано другому лицу, если в гарантии не предусмотрено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иное.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Гарант по муниципальной гарантии несет субсидиарную ответственность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обеспеченному им обязательству.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В муниципальной гарантии в обязательном порядке должны быть указаны: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 и наименование органа, выдавшего гарантию от имени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</w:t>
      </w:r>
      <w:r w:rsidR="00171241">
        <w:rPr>
          <w:rFonts w:eastAsia="Calibri"/>
          <w:sz w:val="28"/>
          <w:szCs w:val="28"/>
          <w:lang w:eastAsia="en-US"/>
        </w:rPr>
        <w:t xml:space="preserve"> б</w:t>
      </w:r>
      <w:r w:rsidRPr="0096770E">
        <w:rPr>
          <w:rFonts w:eastAsia="Calibri"/>
          <w:sz w:val="28"/>
          <w:szCs w:val="28"/>
          <w:lang w:eastAsia="en-US"/>
        </w:rPr>
        <w:t xml:space="preserve">юджете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плановый период, которым предусмотрено предоставление муниципальной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3)наименование и реквизиты распоряжения Главы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 предоставлении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4)наименования принципала, бенефициара;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5)направление (цель) гарантирования;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6)сумма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7)условия договора, в обеспечение обязательств по которому предоставляется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8)гарантийный случай;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9)вступление в силу (дата выдачи) и срок действия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10)способы обеспечения исполнения обязательств принципала;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порядок отзыва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основания для выдачи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права и обязанности сторон, в том числе обязательства принципала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обязательств по возмещению в порядке регресса сумм, уплаченных гарантом во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и условия сокращения предельной суммы гарантии при исполнении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 (или) исполнении обязательств принципала, обеспеченных гарантией;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наличие или отсутствие права требования гаранта к принципалу 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возмещении сумм, уплаченных гарантом бенефициару по муниципальной гарантии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(регрессное требование гаранта к принципалу, регресс);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16)порядок прекращения обязательств по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17) иные условия гарантии, а также сведения, определенные Бюджетным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кодексом Российской Федерации, муниципальными правовыми актами гаранта,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распоряжениями (постановлениями) органа, выдающего гарантию от имени гаранта.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Вступление в силу муниципальной гарантии может быть определено календарной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датой или наступлением события (условия), которое может произойти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10. Срок действия муниципальной гарантии определяется условиями гарантии.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11. Муниципальная гарантия выдается бенефициару.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12. Муниципальные гарантии от имени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выдаются Администрацией </w:t>
      </w:r>
      <w:r w:rsidR="00171241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13.Муниципальные гарантии предоставляются с правом регрессных требований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 к принципалу, по обязательствам которого предоставлена муниципальная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14.Муниципальные гарантии предоставляются в денежной единице Российской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Федерации (рублях).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15.Предусмотренное муниципальной гарантией обязательство гаранта перед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обязательств принципала, обеспеченных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гарантией, но не более суммы, на которую выдана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5. Договор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1. Предоставление из бюджета муниципального образования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 муниципальных гарантий оформляется договором. Договор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заключается между Администрацией муниципального образования 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после принятия решения о предоставлении муниципальной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в порядке, предусмотренном статьей 7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договоре о предоставлении муниципальной гарантии указываются: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о бюджете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поселения на очередной финансовый год и плановый период, которым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предусмотрено предоставление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3) наименование и реквизиты постановления администрации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 предоставлении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наименования принципала, бенефициара;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5) направление (цель) гарантирования;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сумма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условия договора, в обеспечение обязательств по которому предоставляется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гарантийный случай;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 вступление в силу (дата выдачи) и срок действия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 порядок исполнения гарантом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способы обеспечения исполнения обязательств принципала;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права и обязанности сторон, в том числе обязательства принципала по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 по возмещению в порядке регресса сумм, уплаченных гарантом во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порядок и условия сокращения предельной суммы муниципальной гарантии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 исполнении муниципальной гарантии и (или) исполнении обязательств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принципала, обеспеченных 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прекращения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порядок отзыва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 иные условия муниципальной гарантии, определенные Бюджетным кодексом</w:t>
      </w:r>
      <w:r w:rsidR="00B2093D">
        <w:rPr>
          <w:rFonts w:eastAsia="Calibri"/>
          <w:sz w:val="28"/>
          <w:szCs w:val="28"/>
          <w:lang w:eastAsia="en-US"/>
        </w:rPr>
        <w:tab/>
        <w:t>Российской Федерации</w:t>
      </w:r>
      <w:r w:rsidRPr="0096770E">
        <w:rPr>
          <w:rFonts w:eastAsia="Calibri"/>
          <w:sz w:val="28"/>
          <w:szCs w:val="28"/>
          <w:lang w:eastAsia="en-US"/>
        </w:rPr>
        <w:t>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Письменная форма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является обязательной. Несоблюдение письменной формы договора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влечет ее ничтожность.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В договоре о предоставлении муниципальной гарантии в обязательном порядке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должны быть указаны все условия, которые содержатся в муниципальной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гарантии, согласно пункту 8 статьи 4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В период действия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 ежеквартально представляет в сектор</w:t>
      </w:r>
      <w:r w:rsidR="00B2093D">
        <w:rPr>
          <w:rFonts w:eastAsia="Calibri"/>
          <w:sz w:val="28"/>
          <w:szCs w:val="28"/>
          <w:lang w:eastAsia="en-US"/>
        </w:rPr>
        <w:t xml:space="preserve"> экономики и финансов </w:t>
      </w:r>
      <w:r w:rsidRPr="009677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следующие сведения: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отчет об исполнении обязательств, обеспеченных предоставленной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информацию о сохранности находящегося в залоге имущества;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другие необходимые документы и информацию.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Вышеуказанные сведения предоставляются за подписями руководителя 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главного бухгалтера принципала и заверяются печатью.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В случаях, когда невозможно установить бенефициара в момент предоставления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или бенефициарами является неопределенный круг лиц, договор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 обеспечение исполнения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 заключается с принципалом.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Получателем (держателем) такой гарантии является принципал.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6. Обеспечение исполнения обязательств принципала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с правом регрессного требования выдается при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условии предоставления высоколиквидного обеспечения исполнения обязательств.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Способом обеспечения исполнения обязательств получателя </w:t>
      </w:r>
      <w:r w:rsidRPr="0096770E">
        <w:rPr>
          <w:rFonts w:eastAsia="Calibri"/>
          <w:sz w:val="28"/>
          <w:szCs w:val="28"/>
          <w:lang w:eastAsia="en-US"/>
        </w:rPr>
        <w:lastRenderedPageBreak/>
        <w:t>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может быть поручительство, банковские гарантии или залог имущества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или третьего лица стоимостью не менее 150 процентов от суммы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(размера) предоставляемой муниципальной гарантии.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В качестве залога предоставляется имущество, не обремененное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обязательствами и правами третьих лиц.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Предмет залога подлежит в обязательном порядке независимой оценке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 Затраты на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проведение оценки несет получатель муниципальной гарантии. В отчете об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оценке должно быть дано заключение о степени ликвидности объекта оценки.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3.Предметом залога не может являться: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имущество, которое находится в собственности муниципального образования</w:t>
      </w:r>
      <w:r w:rsidR="00A54197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имущество, которое не может быть предметом залога в соответствии с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3)недвижимое имущество, имеющее степень физического износа свыше 50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процентов на основании данных органов и организаций по государственному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техническому учету и (или) технической инвентаризации;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4)поручительства и гарантии юридических лиц, имеющих просроченную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задолженность по обязательным платежам или по денежным обязательствам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перед соответствующим бюджетом (публично-правовым образованием), а также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поручительств и гарантий юридических и физических лиц, величина чистых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активов которых меньше величины, равной трехкратной сумме предоставляемой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муниципальной гарантии </w:t>
      </w:r>
      <w:r w:rsidR="00A54197">
        <w:rPr>
          <w:rFonts w:eastAsia="Calibri"/>
          <w:sz w:val="28"/>
          <w:szCs w:val="28"/>
          <w:lang w:eastAsia="en-US"/>
        </w:rPr>
        <w:t>Киселевским</w:t>
      </w:r>
      <w:r w:rsidRPr="0096770E">
        <w:rPr>
          <w:rFonts w:eastAsia="Calibri"/>
          <w:sz w:val="28"/>
          <w:szCs w:val="28"/>
          <w:lang w:eastAsia="en-US"/>
        </w:rPr>
        <w:t xml:space="preserve"> сельским поселением.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Договор залога заключается между Администрацией муниципального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A54197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и залогодателем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Оформление и заключение договора залога осуществляется одновременно с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договором о предоставлении муниципальной гарантии.</w:t>
      </w:r>
    </w:p>
    <w:p w:rsidR="0096770E" w:rsidRPr="0096770E" w:rsidRDefault="0096770E" w:rsidP="00A5419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7. Порядок предоставления муниципальных гарантий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Предоставление муниципальных гарантий осуществляется на основании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решения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период, распоряжения Администрации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образования, а также договора о предоставлении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при условии: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проведения анализа финансового состояния принципала;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предоставления принципалом соответствующего требованиям статьи 93.2 БК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РФ и гражданского законодательства Российской Федерации обеспечения</w:t>
      </w:r>
      <w:r w:rsidR="00A54197">
        <w:rPr>
          <w:rFonts w:eastAsia="Calibri"/>
          <w:sz w:val="28"/>
          <w:szCs w:val="28"/>
          <w:lang w:eastAsia="en-US"/>
        </w:rPr>
        <w:t xml:space="preserve"> и</w:t>
      </w:r>
      <w:r w:rsidRPr="0096770E">
        <w:rPr>
          <w:rFonts w:eastAsia="Calibri"/>
          <w:sz w:val="28"/>
          <w:szCs w:val="28"/>
          <w:lang w:eastAsia="en-US"/>
        </w:rPr>
        <w:t>сполнения обязательств принципала по удовлетворению регрессного требования 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принципалу в связи с исполнением в полном объеме или частично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отсутствия у принципала и его поручителей просроченной задолженности по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денежным обязательствам перед муниципальным образованием </w:t>
      </w:r>
      <w:r w:rsidR="00A54197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поселение, по обязательным платежам в бюджетную систему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Российской Федерации, а также неурегулированных обязательств по ранее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предоставленным муниципальным гарантиям;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если принципал не находится в стадии реорганизации, ликвидации или</w:t>
      </w:r>
    </w:p>
    <w:p w:rsidR="0096770E" w:rsidRPr="0096770E" w:rsidRDefault="0096770E" w:rsidP="009677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несостоятельности (банкротства).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2. При предоставлении муниципальной гарантии для обеспечения обязательств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возмещению ущерба, образовавшегося при наступлении гарантийного случая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характера, а также муниципальной гарантии без права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регрессного требования гаранта к принципалу анализ финансового состояния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может не проводиться. При предоставлении указанных гарантий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обеспечение исполнения обязательств принципала перед гарантом, которые могут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возникнуть в связи с предъявлением гарантом регрессных требований к принципалу,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 требуется.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3.Гарантии предоставляются на конкурсной основе, если иное не установлено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 о бюджете.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Конкурс на право получения гарантии (далее – конкурс) является открытым.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Юридическое лицо, претендующее на получение муниципальной гарантии,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предоставляет в Администрацию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письменное заявление о предоставлении муниципальной гарантии. В заявлении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указываются: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полное наименование заявителя, его юридический и фактический адреса;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обязательство, в обеспечение которого запрашивается гарантия, его сумма и срок;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способ обеспечения исполнения обязательств по удовлетворению регрессного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требования к принципалу;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наименование и адрес бенефициара, которому будет предоставлена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полученная муниципальная гарантия;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направление расходования средств, предоставленных по обязательствам,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обеспеченным муниципальной гарантией.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К заявлению должны быть приложены следующие документы: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заверенные в соответствии с действующим законодательством копии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учредительных документов, свидетельства о государственной регистрации,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лицензии на осуществляемые виды деятельности, которые подлежат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лицензированию в соответствии с законодательством Российской Федерации;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карточка с образцами подписей уполномоченных лиц, подписывающих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договор о предоставлении муниципальной гарантии, а также с образцом оттиска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печати юридического лица;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документы, устанавливающие полномочия лиц, подписывающих договор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копии бухгалтерских балансов и отчетов о прибылях и убытках по утвержденным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формам за последний отчетный год и за все отчетные периоды текущего года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 отметкой налогового органа об их принятии;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расшифровка кредиторской и дебиторской задолженности к представленному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бухгалтерскому балансу за последний отчетный период с указанием дат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возникновения и окончания задолженности в соответствии с заключенными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договорами;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справка налогового органа об отсутствии просроченной задолженности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принципала, его поручителей по налоговым и иным обязательным платежам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бюджеты всех уровней и государственные внебюджетные фонды;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справка налогового органа обо всех открытых счетах юридического лица, а также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справки банков и иных кредитных учреждений, обслуживающих эти </w:t>
      </w:r>
      <w:r w:rsidRPr="0096770E">
        <w:rPr>
          <w:rFonts w:eastAsia="Calibri"/>
          <w:sz w:val="28"/>
          <w:szCs w:val="28"/>
          <w:lang w:eastAsia="en-US"/>
        </w:rPr>
        <w:lastRenderedPageBreak/>
        <w:t>счета,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оборотах и средних остатках по ним за последние шесть месяцев, наличии или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финансовых претензий к юридическому лицу;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бизнес-план или технико-экономическое обоснование, в случае, если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муниципальная гарантия запрашивается на получение средств для финансирования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инвестиционного проекта, или финансовое обоснование, содержащее подробную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информацию о порядке использования средств в случае, если муниципальная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 запрашивается на получение средств, не являющихся инвестициями;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9) заключение Администрации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по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бизнес-плану или технико-экономическому обоснованию;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10) справка из финансово-экономического отдела администрации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об отсутствии нецелевого использования и просроченной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задолженности по ранее предоставленным на возвратной и платной основе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средствам местного бюджета.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Заявление принципала рассматривается Администрацией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в течение месяца.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Анализ финансового состояния принципала в целях предоставления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муниципальной гарантии осуществляется финансово-экономическим сектором в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установленном им порядке.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Муниципальная гарантия не предоставляется при наличии заключения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 неудовлетворительном финансовом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состоянии юридического лица и (или) несоблюдении условий, предусмотренных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настоящим Положением.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этих случаях в адрес юридического лица направляется уведомление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отказе в предоставлении муниципальной гарантии с указанием причин отказа.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Решение о предоставлении муниципальной гарантии принимается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Администрацией муниципального образования в форме распоряжения на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основании решения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 и представленного финансово-экономическим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сектором заключения о возможности ее предоставления принципалу.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Срок принятия решения о предоставлении муниципальной гарантии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составляет 10 рабочих дней со дня поступления в Администрацию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 заключения 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финансовом состоянии принципала.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Администрация муниципального образования заключает договоры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муниципальных гарантий, об обеспечении исполнения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принципалом его возможных будущих обязательств по возмещению гаранту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порядке регресса сумм, уплаченных гарантом во исполнение (частичное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исполнение) обязательств по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Порядок и сроки возмещения принципалом гаранту в порядке регресса сумм,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уплаченных гарантом во исполнение (частичное исполнение) обязательств по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гарантии, определяются договором между гарантом и принципалом. При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соглашения сторон по этим вопросам удовлетворение регрессного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требования гаранта к принципалу осуществляется в порядке и сроки, указанные в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требовании гаранта.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10. Предоставление муниципальной гарантии в обеспечение исполнения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обязательств, по которым невозможно установить бенефициара в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предоставления гарантии или бенефициарами является неопределенный круг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лиц, осуществляется с учетом особенностей, установленных статьей 115.1 БК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8. Порядок удовлетворения требований бенефициара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Требование бенефициара об уплате денежной суммы по муниципальной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должно быть представлено гаранту в письменной форме с приложением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указанных в гарантии документов.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По получении требования бенефициара гарант должен уведомить об этом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принципала и передать ему копии требования со всеми относящимися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документами.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 должен рассмотреть требование бенефициара с приложенными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 в срок, определенный в гарантии, чтобы установить, соответствуют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 это требование и приложенные к нему документы условиям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Требование бенефициара признается необоснованным и гарант отказывает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бенефициару в удовлетворении его требования в следующих случаях: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требование предъявлено гаранту по окончании определенного в гарантии срока;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требование или приложенные к нему документы не соответствуют условиям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бенефициар отказался принять надлежащее исполнение обязательств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принципала, предложенное принципалом или третьими лицами.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 должен уведомить бенефициара об отказе удовлетворить его требование.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случае признания требования бенефициара об исполнении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необоснованным гарант в течение 30 (тридцати) календарных дней с даты его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направляет бенефициару мотивированное уведомление об отказе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удовлетворении этого требования.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Гарант вправе выдвигать против требования бенефициара возражения,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которые мог бы представить принципал, если иное не вытекает из условий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гарантии. Гарант не теряет право на эти возражения даже в том случае, если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 от них отказался или признал свой долг.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случае признания требования бенефициара обоснованным гарант обязан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исполнить обязательство по гарантии в срок, установленный в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Предусмотренное муниципальной гарантией обязательство гаранта перед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обязательств принципала, обеспеченных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но не более суммы, на которую выдана гарантия.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9. Ответственность по муниципальным гарантиям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Ответственность гаранта перед бенефициаром за неисполнение получателем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муниципальной гарантии своих обязательств наступает в соответствии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 и договором 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Администрация, исполнив обязательство принципала, обеспеченное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имеет право потребовать от принципала или поручителя возмещения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сумм, уплаченных бенефициару по муниципальной гарантии, в порядке,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предусмотренном законодательством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10. Прекращение муниципальной гарантии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Принципал, исполнивший обязательство, обеспеченное муниципальной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гарантией, извещает об этом гаранта не позднее 5-ти календарных дней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момента исполнения своих обязательств.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Обязательство гаранта перед бенефициаром по муниципальной гарантии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прекращается: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уплатой гарантом бенефициару суммы, определенной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истечением определенного в гарантии срока, на который она выдана;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в случае исполнения в полном объеме принципалом или третьими лицами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 принципала, обеспеченных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вследствие отказа бенефициара от своих прав по гарантии путем возвращения ее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или письменного заявления об освобождении гаранта от его обязательств;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если обязательство принципала, в обеспечение которого предоставлена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гарантия, не возникло;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в иных случаях, установленных гарантией.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Удержание бенефициаром гарантии после прекращения обязательств гаранта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ней не сохраняет за бенефициаром каких-либо прав по этой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Гарант, которому стало известно о прекращении гарантии, должен уведомить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 этом принципала.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11. Учет выданных муниципальных гарантий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Общая сумма обязательств, вытекающих из муниципальных гарантий, включается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состав муниципального долга как вид долгового обязательства.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Предоставление и исполнение муниципальной гарантии подлежит отражению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в муниципальной долговой книге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3. Финансово-экономический отдел Администрации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поселения ведет учет и регистрацию выданных муниципальных гарантий,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исполнения обязательств принципала, обеспеченных гарантиями, а также учет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осуществления гарантом платежей по выданным гарантиям.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Если исполнение гарантом муниципальной гарантии ведет к возникновению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права регрессного требования гаранта к принципалу либо обусловлено уступкой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прав требования бенефициара к принципалу, исполнение таких гарантий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учитывается в источниках финансирования дефицита бюджета муниципального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4125B3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Если исполнение гарантом муниципальной гарантии не ведет к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возникновению права регрессного требования гаранта к принципалу и не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обусловлено уступкой гаранту прав требования бенефициара к принципалу,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исполнение таких гарантий подлежит отражению в составе расходов бюджета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Средства, полученные гарантом в счет возмещения гаранту в порядке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регресса сумм, уплаченных гарантом во исполнение (частичное исполнение)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обязательств по гарантии, а также в счет исполнения обязательств, права </w:t>
      </w:r>
      <w:r w:rsidRPr="0096770E">
        <w:rPr>
          <w:rFonts w:eastAsia="Calibri"/>
          <w:sz w:val="28"/>
          <w:szCs w:val="28"/>
          <w:lang w:eastAsia="en-US"/>
        </w:rPr>
        <w:lastRenderedPageBreak/>
        <w:t>требования по которым перешли от бенефициара к гаранту, отражаются как возврат бюджетных кредитов.</w:t>
      </w: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  <w:sectPr w:rsidR="008B6E58" w:rsidSect="0096770E">
          <w:headerReference w:type="default" r:id="rId8"/>
          <w:pgSz w:w="11906" w:h="16838"/>
          <w:pgMar w:top="680" w:right="707" w:bottom="1134" w:left="1304" w:header="708" w:footer="708" w:gutter="0"/>
          <w:cols w:space="708"/>
          <w:docGrid w:linePitch="360"/>
        </w:sect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B1A" w:rsidRPr="00D93E99" w:rsidRDefault="00066B1A" w:rsidP="00D93E99">
      <w:pPr>
        <w:rPr>
          <w:sz w:val="28"/>
          <w:szCs w:val="28"/>
        </w:rPr>
      </w:pPr>
    </w:p>
    <w:sectPr w:rsidR="00066B1A" w:rsidRPr="00D93E99" w:rsidSect="008B6E58">
      <w:pgSz w:w="16838" w:h="11906" w:orient="landscape"/>
      <w:pgMar w:top="1304" w:right="6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0" w:rsidRDefault="00A56840" w:rsidP="00E86CDA">
      <w:r>
        <w:separator/>
      </w:r>
    </w:p>
  </w:endnote>
  <w:endnote w:type="continuationSeparator" w:id="0">
    <w:p w:rsidR="00A56840" w:rsidRDefault="00A56840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0" w:rsidRDefault="00A56840" w:rsidP="00E86CDA">
      <w:r>
        <w:separator/>
      </w:r>
    </w:p>
  </w:footnote>
  <w:footnote w:type="continuationSeparator" w:id="0">
    <w:p w:rsidR="00A56840" w:rsidRDefault="00A56840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C448AE" wp14:editId="272504A4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D4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D4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D0E61"/>
    <w:rsid w:val="000F327C"/>
    <w:rsid w:val="0012313D"/>
    <w:rsid w:val="00171241"/>
    <w:rsid w:val="0021358F"/>
    <w:rsid w:val="00220DAC"/>
    <w:rsid w:val="002872A9"/>
    <w:rsid w:val="002D3D1D"/>
    <w:rsid w:val="003346E1"/>
    <w:rsid w:val="003C3501"/>
    <w:rsid w:val="004125B3"/>
    <w:rsid w:val="004654A3"/>
    <w:rsid w:val="0047020F"/>
    <w:rsid w:val="005157FC"/>
    <w:rsid w:val="005478FE"/>
    <w:rsid w:val="005516CE"/>
    <w:rsid w:val="005867E0"/>
    <w:rsid w:val="005F6109"/>
    <w:rsid w:val="00662380"/>
    <w:rsid w:val="006728EC"/>
    <w:rsid w:val="00675860"/>
    <w:rsid w:val="006B6861"/>
    <w:rsid w:val="006D27F4"/>
    <w:rsid w:val="006F26A1"/>
    <w:rsid w:val="006F7546"/>
    <w:rsid w:val="00744438"/>
    <w:rsid w:val="007A1321"/>
    <w:rsid w:val="007D5149"/>
    <w:rsid w:val="007F3B6A"/>
    <w:rsid w:val="00801365"/>
    <w:rsid w:val="00863D96"/>
    <w:rsid w:val="008716B7"/>
    <w:rsid w:val="008B6E58"/>
    <w:rsid w:val="008E4CD5"/>
    <w:rsid w:val="008E7494"/>
    <w:rsid w:val="00960BC0"/>
    <w:rsid w:val="0096770E"/>
    <w:rsid w:val="009762E7"/>
    <w:rsid w:val="0098141E"/>
    <w:rsid w:val="009976C4"/>
    <w:rsid w:val="00A01D2D"/>
    <w:rsid w:val="00A54197"/>
    <w:rsid w:val="00A56840"/>
    <w:rsid w:val="00AC76ED"/>
    <w:rsid w:val="00AD0096"/>
    <w:rsid w:val="00AE4D45"/>
    <w:rsid w:val="00AF0FAC"/>
    <w:rsid w:val="00B05394"/>
    <w:rsid w:val="00B2093D"/>
    <w:rsid w:val="00B71834"/>
    <w:rsid w:val="00B765AB"/>
    <w:rsid w:val="00BB45F4"/>
    <w:rsid w:val="00BD2C19"/>
    <w:rsid w:val="00BE47D9"/>
    <w:rsid w:val="00BF76B6"/>
    <w:rsid w:val="00C61A6D"/>
    <w:rsid w:val="00CB1605"/>
    <w:rsid w:val="00D93E99"/>
    <w:rsid w:val="00DC3917"/>
    <w:rsid w:val="00DC53E7"/>
    <w:rsid w:val="00DE6B22"/>
    <w:rsid w:val="00E171FA"/>
    <w:rsid w:val="00E82DB4"/>
    <w:rsid w:val="00E86CDA"/>
    <w:rsid w:val="00EC6AA4"/>
    <w:rsid w:val="00F14E64"/>
    <w:rsid w:val="00F15B24"/>
    <w:rsid w:val="00F3138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2021-02-17T11:03:00Z</cp:lastPrinted>
  <dcterms:created xsi:type="dcterms:W3CDTF">2021-06-07T07:16:00Z</dcterms:created>
  <dcterms:modified xsi:type="dcterms:W3CDTF">2021-06-07T07:16:00Z</dcterms:modified>
</cp:coreProperties>
</file>